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851D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08.06.</w:t>
            </w:r>
            <w:r w:rsidR="004D7858">
              <w:rPr>
                <w:sz w:val="18"/>
              </w:rPr>
              <w:t xml:space="preserve"> 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851D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052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5B7955">
              <w:rPr>
                <w:sz w:val="18"/>
              </w:rPr>
              <w:t xml:space="preserve">Jana </w:t>
            </w:r>
            <w:proofErr w:type="spellStart"/>
            <w:r w:rsidR="005B7955">
              <w:rPr>
                <w:sz w:val="18"/>
              </w:rPr>
              <w:t>Fečková</w:t>
            </w:r>
            <w:proofErr w:type="spellEnd"/>
            <w:r w:rsidR="005B7955">
              <w:rPr>
                <w:sz w:val="18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727608">
            <w:pPr>
              <w:pStyle w:val="TableParagraph"/>
            </w:pPr>
            <w:r>
              <w:t>https://gpm.edupage.org/a/zvysenie-kvality-vzdelavania</w:t>
            </w:r>
            <w:bookmarkStart w:id="0" w:name="_GoBack"/>
            <w:bookmarkEnd w:id="0"/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4C36C8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851DC3">
                                <w:t xml:space="preserve">vá:  </w:t>
                              </w:r>
                              <w:proofErr w:type="spellStart"/>
                              <w:r w:rsidR="00851DC3">
                                <w:t>medzipredmetové</w:t>
                              </w:r>
                              <w:proofErr w:type="spellEnd"/>
                              <w:r w:rsidR="00851DC3">
                                <w:t xml:space="preserve"> vzťahy, aktivity</w:t>
                              </w: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B06F8C">
                                <w:t>: Hlavno</w:t>
                              </w:r>
                              <w:r w:rsidR="00C5498A">
                                <w:t xml:space="preserve">u témou stretnutia </w:t>
                              </w:r>
                              <w:r w:rsidR="00851DC3">
                                <w:t xml:space="preserve">boli </w:t>
                              </w:r>
                              <w:proofErr w:type="spellStart"/>
                              <w:r w:rsidR="00851DC3">
                                <w:t>medzipredmetové</w:t>
                              </w:r>
                              <w:proofErr w:type="spellEnd"/>
                              <w:r w:rsidR="00851DC3">
                                <w:t xml:space="preserve"> vzťahy a kooperácia učiteľov. Každý člen klubu si pripravil aktivitu zo svojho predmetu, ktoré dáva na hodine svojím študentom, najprv ju predstavil a potom </w:t>
                              </w:r>
                              <w:proofErr w:type="spellStart"/>
                              <w:r w:rsidR="00851DC3">
                                <w:t>vrámci</w:t>
                              </w:r>
                              <w:proofErr w:type="spellEnd"/>
                              <w:r w:rsidR="00851DC3">
                                <w:t xml:space="preserve"> skupinovej práce sme si tieto aktivity vyskúšali a na záver zhodnotili či ich vieme využiť aj </w:t>
                              </w:r>
                              <w:proofErr w:type="spellStart"/>
                              <w:r w:rsidR="00851DC3">
                                <w:t>vrámci</w:t>
                              </w:r>
                              <w:proofErr w:type="spellEnd"/>
                              <w:r w:rsidR="00851DC3">
                                <w:t xml:space="preserve"> </w:t>
                              </w:r>
                              <w:proofErr w:type="spellStart"/>
                              <w:r w:rsidR="00851DC3">
                                <w:t>naších</w:t>
                              </w:r>
                              <w:proofErr w:type="spellEnd"/>
                              <w:r w:rsidR="00851DC3">
                                <w:t xml:space="preserve"> predmetov.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4C36C8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851DC3">
                          <w:t xml:space="preserve">vá:  </w:t>
                        </w:r>
                        <w:proofErr w:type="spellStart"/>
                        <w:r w:rsidR="00851DC3">
                          <w:t>medzipredmetové</w:t>
                        </w:r>
                        <w:proofErr w:type="spellEnd"/>
                        <w:r w:rsidR="00851DC3">
                          <w:t xml:space="preserve"> vzťahy, aktivity</w:t>
                        </w:r>
                      </w:p>
                      <w:p w:rsidR="007B4CBA" w:rsidRDefault="007B4CBA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B06F8C">
                          <w:t>: Hlavno</w:t>
                        </w:r>
                        <w:r w:rsidR="00C5498A">
                          <w:t xml:space="preserve">u témou stretnutia </w:t>
                        </w:r>
                        <w:r w:rsidR="00851DC3">
                          <w:t xml:space="preserve">boli </w:t>
                        </w:r>
                        <w:proofErr w:type="spellStart"/>
                        <w:r w:rsidR="00851DC3">
                          <w:t>medzipredmetové</w:t>
                        </w:r>
                        <w:proofErr w:type="spellEnd"/>
                        <w:r w:rsidR="00851DC3">
                          <w:t xml:space="preserve"> vzťahy a kooperácia učiteľov. Každý člen klubu si pripravil aktivitu zo svojho predmetu, ktoré dáva na hodine svojím študentom, najprv ju predstavil a potom </w:t>
                        </w:r>
                        <w:proofErr w:type="spellStart"/>
                        <w:r w:rsidR="00851DC3">
                          <w:t>vrámci</w:t>
                        </w:r>
                        <w:proofErr w:type="spellEnd"/>
                        <w:r w:rsidR="00851DC3">
                          <w:t xml:space="preserve"> skupinovej práce sme si tieto aktivity vyskúšali a na záver zhodnotili či ich vieme využiť aj </w:t>
                        </w:r>
                        <w:proofErr w:type="spellStart"/>
                        <w:r w:rsidR="00851DC3">
                          <w:t>vrámci</w:t>
                        </w:r>
                        <w:proofErr w:type="spellEnd"/>
                        <w:r w:rsidR="00851DC3">
                          <w:t xml:space="preserve"> </w:t>
                        </w:r>
                        <w:proofErr w:type="spellStart"/>
                        <w:r w:rsidR="00851DC3">
                          <w:t>naších</w:t>
                        </w:r>
                        <w:proofErr w:type="spellEnd"/>
                        <w:r w:rsidR="00851DC3">
                          <w:t xml:space="preserve"> predmetov.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Pr="004D7858" w:rsidRDefault="00851DC3" w:rsidP="004D7858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proofErr w:type="spellStart"/>
      <w:r>
        <w:rPr>
          <w:szCs w:val="32"/>
        </w:rPr>
        <w:t>Medzipredmetovvé</w:t>
      </w:r>
      <w:proofErr w:type="spellEnd"/>
      <w:r>
        <w:rPr>
          <w:szCs w:val="32"/>
        </w:rPr>
        <w:t xml:space="preserve"> vzťahy a kooperácia učiteľov </w:t>
      </w:r>
    </w:p>
    <w:p w:rsidR="007B4CBA" w:rsidRPr="007B4CBA" w:rsidRDefault="00851DC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Predstavenie aktivity každého člena klubu </w:t>
      </w:r>
    </w:p>
    <w:p w:rsidR="007B4CBA" w:rsidRDefault="00851DC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Plnenie aktivít medzi členmi navzájom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7B4CBA" w:rsidRDefault="007B4CBA" w:rsidP="007B4CBA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</w:p>
    <w:p w:rsidR="004D7858" w:rsidRDefault="009E72BC" w:rsidP="004D7858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</w:t>
      </w:r>
    </w:p>
    <w:p w:rsidR="00400643" w:rsidRDefault="00B06F8C" w:rsidP="007B3214">
      <w:pPr>
        <w:pStyle w:val="Zkladntext"/>
        <w:ind w:left="142" w:right="212"/>
        <w:jc w:val="both"/>
      </w:pPr>
      <w:r w:rsidRPr="00B06F8C">
        <w:t xml:space="preserve">    </w:t>
      </w:r>
      <w:r w:rsidR="00400643">
        <w:t xml:space="preserve"> </w:t>
      </w:r>
      <w:proofErr w:type="spellStart"/>
      <w:r w:rsidR="00400643">
        <w:t>Vrámci</w:t>
      </w:r>
      <w:proofErr w:type="spellEnd"/>
      <w:r w:rsidR="00400643">
        <w:t xml:space="preserve"> skvalitnenia pracovného prostredia sme sa rozhodli na dnešnom stretnutí venovať   </w:t>
      </w:r>
    </w:p>
    <w:p w:rsidR="00052AD7" w:rsidRPr="00400643" w:rsidRDefault="00400643" w:rsidP="007B3214">
      <w:pPr>
        <w:pStyle w:val="Zkladntext"/>
        <w:ind w:left="142" w:right="212"/>
        <w:jc w:val="both"/>
      </w:pPr>
      <w:r>
        <w:t xml:space="preserve">     </w:t>
      </w:r>
      <w:proofErr w:type="spellStart"/>
      <w:r>
        <w:t>medzipredmetovým</w:t>
      </w:r>
      <w:proofErr w:type="spellEnd"/>
      <w:r>
        <w:t xml:space="preserve"> vzťahom a kooperácii učiteľov. Každý člen klubu si pripravil pre ostatných členov aktivitu, ktorú robí so žiakmi na svojom predmete. Aktivity boli vyberané tak, aby sme ich mohli robiť skupinovo. </w:t>
      </w:r>
      <w:r w:rsidR="007B3214">
        <w:t xml:space="preserve">Boli to rôzne kvízy, ekonomická hra, jazykové hlavolamy – všetky aktivity boli smerované na opakovanie učiva, ale aj rozvoj logického a kritického myslenia.  </w:t>
      </w:r>
      <w:r>
        <w:t xml:space="preserve">Po predstavení aktivity, sme sa rozdelili do dvoch niekedy aj troch skupín a danú aktivitu si vyskúšali. Vyskúšaním každej aktivity sme na záver diskutovali o tom, ktoré aktivity by sa hodili do ktorého predmetu a či vlastne vieme zaradiť všetky aktivity do všetkých predmetov. Zhodli sme sa, že nie vždy je to možne, ale určite s istými obmenami by sme vedeli do vyučovacieho procesu zakomponovať úlohy aj z iných predmetov. </w:t>
      </w: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E50DC5" w:rsidRDefault="00E50DC5" w:rsidP="00E50DC5">
      <w:pPr>
        <w:pStyle w:val="Zkladntext"/>
        <w:ind w:left="1330"/>
        <w:rPr>
          <w:b/>
        </w:rPr>
      </w:pPr>
    </w:p>
    <w:p w:rsidR="007120E9" w:rsidRDefault="00156B04" w:rsidP="009D0807">
      <w:pPr>
        <w:pStyle w:val="Zkladntext"/>
        <w:ind w:left="284" w:right="212"/>
        <w:jc w:val="both"/>
      </w:pPr>
      <w:r w:rsidRPr="00156B04">
        <w:t xml:space="preserve">       </w:t>
      </w:r>
      <w:proofErr w:type="spellStart"/>
      <w:r w:rsidR="007B3214">
        <w:t>Medzipredmetové</w:t>
      </w:r>
      <w:proofErr w:type="spellEnd"/>
      <w:r w:rsidR="007B3214">
        <w:t xml:space="preserve"> vzťahy a kooperácia učiteľov je veľmi dôležitá, vzhľadom na to, že je potrebné aj    žiakov viesť k tomu, aby pri učení jedného predmetu vedeli si nájsť súvislosti a pomáhali </w:t>
      </w:r>
      <w:r w:rsidR="009D0807">
        <w:t xml:space="preserve">si s </w:t>
      </w:r>
      <w:r w:rsidR="007B3214">
        <w:t>vedomosťami z iných predmetov. Takýmto spôsob rozvíjame u žiakov kritické a logické myslenie</w:t>
      </w:r>
      <w:r w:rsidR="009D0807">
        <w:t xml:space="preserve">. </w:t>
      </w:r>
    </w:p>
    <w:p w:rsidR="009D0807" w:rsidRDefault="009D0807" w:rsidP="007B3214">
      <w:pPr>
        <w:pStyle w:val="Zkladntext"/>
        <w:jc w:val="both"/>
      </w:pPr>
      <w:r>
        <w:t xml:space="preserve">     Odporúčanie:  každý člen klubu si vytvorí aktivity zo svojho predmetu s prepojením poznatkov aj z iných   </w:t>
      </w:r>
    </w:p>
    <w:p w:rsidR="009D0807" w:rsidRDefault="009D0807" w:rsidP="009D0807">
      <w:pPr>
        <w:pStyle w:val="Zkladntext"/>
        <w:tabs>
          <w:tab w:val="left" w:pos="9356"/>
        </w:tabs>
        <w:ind w:right="212"/>
        <w:jc w:val="both"/>
        <w:rPr>
          <w:b/>
          <w:sz w:val="20"/>
        </w:rPr>
      </w:pPr>
      <w:r>
        <w:t xml:space="preserve">       predmetov. </w:t>
      </w:r>
    </w:p>
    <w:p w:rsidR="007120E9" w:rsidRDefault="007120E9" w:rsidP="007B3214">
      <w:pPr>
        <w:pStyle w:val="Zkladntext"/>
        <w:jc w:val="both"/>
        <w:rPr>
          <w:b/>
          <w:sz w:val="20"/>
        </w:rPr>
      </w:pPr>
    </w:p>
    <w:p w:rsidR="007120E9" w:rsidRDefault="007120E9" w:rsidP="007B3214">
      <w:pPr>
        <w:pStyle w:val="Zkladntext"/>
        <w:ind w:left="284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485650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08.06</w:t>
            </w:r>
            <w:r w:rsidR="00EA034B">
              <w:rPr>
                <w:sz w:val="20"/>
              </w:rPr>
              <w:t>.2021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F332B"/>
    <w:rsid w:val="00156B04"/>
    <w:rsid w:val="001A57DF"/>
    <w:rsid w:val="001D09EB"/>
    <w:rsid w:val="001E7BF1"/>
    <w:rsid w:val="002E2BAE"/>
    <w:rsid w:val="002E58EC"/>
    <w:rsid w:val="003467B4"/>
    <w:rsid w:val="00385C68"/>
    <w:rsid w:val="0038619A"/>
    <w:rsid w:val="00400643"/>
    <w:rsid w:val="00406AD1"/>
    <w:rsid w:val="00472A66"/>
    <w:rsid w:val="00485650"/>
    <w:rsid w:val="004C36C8"/>
    <w:rsid w:val="004D7858"/>
    <w:rsid w:val="005A42CF"/>
    <w:rsid w:val="005B7955"/>
    <w:rsid w:val="006032F3"/>
    <w:rsid w:val="00622323"/>
    <w:rsid w:val="006C5F66"/>
    <w:rsid w:val="006F7879"/>
    <w:rsid w:val="007120E9"/>
    <w:rsid w:val="00727608"/>
    <w:rsid w:val="007B3214"/>
    <w:rsid w:val="007B4CBA"/>
    <w:rsid w:val="00845595"/>
    <w:rsid w:val="00851DC3"/>
    <w:rsid w:val="00891A8F"/>
    <w:rsid w:val="008D6FD3"/>
    <w:rsid w:val="009D0807"/>
    <w:rsid w:val="009E5DDB"/>
    <w:rsid w:val="009E72BC"/>
    <w:rsid w:val="00AD328E"/>
    <w:rsid w:val="00B06F8C"/>
    <w:rsid w:val="00C5498A"/>
    <w:rsid w:val="00C959A1"/>
    <w:rsid w:val="00D45C24"/>
    <w:rsid w:val="00D73992"/>
    <w:rsid w:val="00DC7344"/>
    <w:rsid w:val="00E50DC5"/>
    <w:rsid w:val="00E94015"/>
    <w:rsid w:val="00EA034B"/>
    <w:rsid w:val="00EF0425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6</cp:revision>
  <cp:lastPrinted>2021-06-09T07:36:00Z</cp:lastPrinted>
  <dcterms:created xsi:type="dcterms:W3CDTF">2021-06-09T06:59:00Z</dcterms:created>
  <dcterms:modified xsi:type="dcterms:W3CDTF">2021-06-16T08:19:00Z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