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2" w:hanging="0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Zielonki-Parcele, dn. 02.09.20</w:t>
      </w:r>
      <w:r>
        <w:rPr>
          <w:sz w:val="20"/>
          <w:szCs w:val="20"/>
        </w:rPr>
        <w:t>20</w:t>
      </w:r>
      <w:r>
        <w:rPr>
          <w:sz w:val="20"/>
          <w:szCs w:val="20"/>
        </w:rPr>
        <w:t>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rPr>
          <w:rFonts w:cs="Arial"/>
          <w:b/>
          <w:b/>
          <w:i/>
          <w:i/>
          <w:iCs/>
          <w:color w:val="F09120"/>
        </w:rPr>
      </w:pPr>
      <w:r>
        <w:rPr>
          <w:rFonts w:cs="Arial"/>
          <w:b/>
          <w:i/>
          <w:iCs/>
          <w:color w:val="F091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DLA KLASY 5B</w:t>
      </w:r>
    </w:p>
    <w:p>
      <w:pPr>
        <w:pStyle w:val="Normal"/>
        <w:spacing w:before="0" w:after="0"/>
        <w:ind w:left="142" w:hanging="0"/>
        <w:jc w:val="center"/>
        <w:rPr>
          <w:rFonts w:cs="Arial"/>
          <w:b/>
          <w:b/>
          <w:i/>
          <w:i/>
          <w:iCs/>
          <w:color w:val="F09120"/>
        </w:rPr>
      </w:pPr>
      <w:r>
        <w:rPr>
          <w:rFonts w:cs="Arial"/>
          <w:b/>
          <w:i/>
          <w:iCs/>
          <w:color w:val="F09120"/>
        </w:rPr>
      </w:r>
    </w:p>
    <w:p>
      <w:pPr>
        <w:pStyle w:val="Normal"/>
        <w:ind w:left="142" w:hanging="0"/>
        <w:jc w:val="center"/>
        <w:rPr/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czym jest geografia;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powiedzieć, co to jest środowisko przyrodnicze </w:t>
              <w:br/>
              <w:t>i geograficzne;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sfery ziemskie;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 północną i południową, wschodnią i zachodnią;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co to jest legenda mapy;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legendy na mapie;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czym jest wysokość względna i bezwzględna;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poziomice;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wymienić kontynenty </w:t>
              <w:br/>
              <w:t>i oceany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wymienić, jakie mogą być na Ziemi formy ukształtowania powierzchni;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nazwiska wielkich odkrywców.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 czym jest geografia;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definiować elementy środowiska przyrodniczego;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podawać przykłady, podać źródła wiedzy geograficznej.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globusie i mapie świata: bieguny, równik, południk zerowy i 180°, półkule, zwrotniki </w:t>
              <w:br/>
              <w:t>i koła podbiegunowe;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elementy mapy;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nazwać umieszczone na mapie znaki z legendy;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krajobrazu;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wysokość względną</w:t>
              <w:br/>
              <w:t>z podanych informacji;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poziomic;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kontynenty i oceany świata;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swoimi słowami określić, czym są formy ukształtowania powierzchni.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definiować pojęcia: geografia, środowisko przyrodnicze </w:t>
              <w:br/>
              <w:t>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środowiska przyrodniczego;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 półkule,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zastosować legendę mapy do odczytywania informacji;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wyjaśnić, do czego służy skala mapy;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na mapie składniki krajobrazu Polski;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podstawie rysunku poziomicowego mapy okolic szkoły konkretne formy terenu;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wysokość bezwzględną z rysunku poziomicowego;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zorientować mapę okolic szkoły;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 terenie główne kierunki geograficzne na podstawie mapy;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położenie kontynentów </w:t>
              <w:br/>
              <w:t>i oceanów na mapie i względem siebie;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wielkie formy ukształtowania powierzchni.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wybrać z podanych </w:t>
              <w:br/>
              <w:t>i przyporządkować elementy środowiska przyrodniczego;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zdefiniować długość </w:t>
              <w:br/>
              <w:t>i szerokość geograficzną;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opisać cechy południków </w:t>
              <w:br/>
              <w:t>i równoleżników;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punktów na mapie;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skali mapy, obliczyć odległości między wybranymi obiektami;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znaków umownych, odczytać informację z mapy fizycznej Polski;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wysokość bezwzględną z rysunku poziomicowego i obliczyć wysokość względną </w:t>
              <w:br/>
              <w:t>wzniesienia;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określić, na podstawie rysunku poziomicowego stromiznę stoku;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wielkie formy ukształtowania powierzchni na poszczególnych kontynentach;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trasy pierwszych wypraw geograficznych.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powiązania między elementami środowiska przyrodniczego i geograficznego;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opracować trasę podróży, uwzględniając współrzędne geograficzne;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dany obszar, wykorzystując użyte</w:t>
              <w:br/>
              <w:t>w legendzie znaki umowne;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wykonać pomiary na mapie </w:t>
              <w:br/>
              <w:t>i przeliczyć je, wykorzystując skalę;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znaków umownych, odczytać informację z map tematycznych Polski;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ukształtowanie powierzchni na podstawie rysunku poziomicowego;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porównać elementy przedstawione na mapie </w:t>
              <w:br/>
              <w:t>z elementami zaobserwowanymi w terenie;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nazwać wielkie krainy geograficzne dla poszczególnych kontynentów;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granice między kontynentami;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ukształtowanie kontynentów między sobą.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pasy rzeźby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elementy środowiska wchodzące w skład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danym regionie;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Wyżyny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 nazwać cechy krajobrazu najbliższej okolicy;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pasy rzeźby </w:t>
              <w:br/>
              <w:t xml:space="preserve">w Polsce i wskazać je </w:t>
              <w:br/>
              <w:t>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  <w:br/>
              <w:t>i kulturowego regionów,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danego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  <w:br/>
              <w:t>i kulturowego danego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  <w:br/>
              <w:t>i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nazwać przykładowe krainy wchodzące w skład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pozytywne i negatywne zmiany w krajobrazach powstałe w wyniku działalności człowieka;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krajobrazy krain</w:t>
              <w:br/>
              <w:t>w opisach;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  <w:br/>
              <w:t>i kulturowego danego regionu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  <w:br/>
              <w:t>i kulturowego regionu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  <w:br/>
              <w:t>w rejonie Górnego Śląska;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środowiska miast przemysłowych;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znaczenie warunków naturalnych dla rozwoju rolnictwa na Wyżynie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 okolicy pod względem jego piękna oraz ładu i estetyki;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główne cechy krajobrazów Polski;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ich zróżnicowanie;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krajobrazy krain </w:t>
              <w:br/>
              <w:t xml:space="preserve">w opisach oraz na filmach </w:t>
              <w:br/>
              <w:t>i ilustracjach;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  <w:br/>
              <w:t>i kulturowego danego regionu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znaczenie gospodarcze Wyżyny Lubelskiej - rolnicze, przemysłowe i społeczne;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pozytywnej i negatywnej ingerencji człowieka w środowisko najbliższej okolicy.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zróżnicowania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  <w:br/>
              <w:t>i kulturowego Polski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zmian mających na celu poprawę zagospodarowania najbliższej okolicy z uwzględnieniem dbałości o stan środowiska, ład </w:t>
              <w:br/>
              <w:t>i estetykę krajobrazu.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klimatach umiarkowanych;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  <w:br/>
              <w:t>i stepach;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w klimatach zwrotnikowym suchym </w:t>
              <w:br/>
              <w:t>i polarnym;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śródziemnomorskim;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na obszarze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odszukać na mapie fizycznej Azji Himalaje, Wyżynę Tybetańską oraz rzeki: Indus, Brahmaputra i Ganges;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i opadów oraz map klimatycznych cechy </w:t>
              <w:br/>
              <w:t>i zasięg klimatu równikowego wybitnie wilgotnego;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>i zwierząt żyjących w klimacie 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>i zasięg strefy klimatów umiarkowanych;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>i zwierząt żyjących klimacie umiarkowanym;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 xml:space="preserve">i zasięg klimatu podrównikowego </w:t>
              <w:br/>
              <w:t>i umiarkowanego ciepłego kontynentalnego;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 xml:space="preserve">i zwierząt żyjących </w:t>
              <w:br/>
              <w:t>w klimacie podrównikowym;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 xml:space="preserve">i zasięg klimatów zwrotnikowego suchego </w:t>
              <w:br/>
              <w:t>i polarnego;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 xml:space="preserve">i zwierząt żyjących </w:t>
              <w:br/>
              <w:t>w klimacie zwrotnikowym;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>i opadów oraz map klimatycznych cechy klimatu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klimatu śródziemnomorskiego gatunki roślin i zwierząt;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 żyjących na obszarze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  <w:br/>
              <w:t>w różnych piętrach klimatycznych Himalajów.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  <w:br/>
              <w:t xml:space="preserve">w układzie strefowym, </w:t>
              <w:br/>
              <w:t xml:space="preserve">(w zależności od szerokości geograficznej) i piętrowym </w:t>
              <w:br/>
              <w:t>(w zależności od wysokości bezwzględnej);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sawann i stepów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krajobrazy sawanny </w:t>
              <w:br/>
              <w:t>i stepu na fotografiach;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  <w:br/>
              <w:t xml:space="preserve">i krajobrazowe pustyń suchych </w:t>
              <w:br/>
              <w:t>i gorących;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  <w:br/>
              <w:t>a rozwojem rolnictwa i turystyki strefy śródziemnomorskiej;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  <w:br/>
              <w:t xml:space="preserve">a rozwojem flory i fauny tundry;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  <w:br/>
              <w:t>w tundrze oraz ich główne zajęcia;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  <w:br/>
              <w:t>a zróżnicowaniem krajobrazowym świata;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  <w:br/>
              <w:t>-krajobrazowymi a sposobami życia i zarobkowania ludzi</w:t>
              <w:br/>
              <w:t>w lesie 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>i krajobrazowych na życie człowieka w wilgotnych lasach równikowych i lasach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 xml:space="preserve">i krajobrazowych na życie człowieka na sawannach </w:t>
              <w:br/>
              <w:t>i stepach;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>i krajobrazowych na życie człowieka na pustyniach lodowych i gorących;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śródziemnomorski na podstawie opisów, filmów 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  <w:br/>
              <w:t>i Rosji;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  <w:br/>
              <w:t>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  <w:br/>
              <w:t>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  <w:br/>
              <w:t>i działalności gospodarczej człowieka w Himalajach.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klimatu równikowego wybitnie wilgotnego, a zasięgiem lasów deszczowych;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prezentować niektóre przykłady budownictwa, sposobów gospodarowania,</w:t>
              <w:br/>
              <w:t>głównych zajęć mieszkańców sawann i stepów;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strefy śródziemnomorskiej, warunkami klimatycznymi i głównymi cechami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tajgi, warunkami klimatycznymi i głównymi cechami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wybranych przykładach zależności pomiędzy wysokością nad poziomem morza, a klimatem i roślinnością.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</w:t>
      </w:r>
      <w:bookmarkStart w:id="0" w:name="_GoBack"/>
      <w:bookmarkEnd w:id="0"/>
      <w:r>
        <w:rPr/>
        <w:t xml:space="preserve">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430397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numFmt w:val="bullet"/>
      <w:lvlText w:val=""/>
      <w:lvlJc w:val="left"/>
      <w:pPr>
        <w:ind w:left="-360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33a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3a50"/>
    <w:rPr/>
  </w:style>
  <w:style w:type="character" w:styleId="StopkaZnak1" w:customStyle="1">
    <w:name w:val="Stopka Znak1"/>
    <w:basedOn w:val="DefaultParagraphFont"/>
    <w:uiPriority w:val="99"/>
    <w:semiHidden/>
    <w:qFormat/>
    <w:rsid w:val="00033a50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33a5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33a5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34ad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3a50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33a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33a5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34a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3a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7</Pages>
  <Words>2419</Words>
  <Characters>15865</Characters>
  <CharactersWithSpaces>17880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2019-10-15T21:06:00Z</dcterms:created>
  <dc:creator>Monika Robert</dc:creator>
  <dc:description/>
  <dc:language>pl-PL</dc:language>
  <cp:lastModifiedBy/>
  <dcterms:modified xsi:type="dcterms:W3CDTF">2020-09-04T08:40:25Z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